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703E9" w14:textId="77777777" w:rsidR="002126B5" w:rsidRPr="00FD70E6" w:rsidRDefault="00FD70E6">
      <w:pPr>
        <w:pStyle w:val="Standard"/>
        <w:jc w:val="center"/>
        <w:rPr>
          <w:rFonts w:ascii="Calibri" w:hAnsi="Calibri" w:cs="Calibri"/>
          <w:sz w:val="22"/>
          <w:szCs w:val="22"/>
        </w:rPr>
      </w:pPr>
      <w:bookmarkStart w:id="0" w:name="Bookmark"/>
      <w:bookmarkEnd w:id="0"/>
      <w:r w:rsidRPr="00FD70E6">
        <w:rPr>
          <w:rFonts w:ascii="Calibri" w:hAnsi="Calibri" w:cs="Calibri"/>
          <w:sz w:val="22"/>
          <w:szCs w:val="22"/>
        </w:rPr>
        <w:t>Załącznik nr 1.2. do SIWZ</w:t>
      </w:r>
    </w:p>
    <w:p w14:paraId="1A5DCFDF" w14:textId="774A70E2" w:rsidR="002126B5" w:rsidRPr="00FD70E6" w:rsidRDefault="00FD70E6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FD70E6">
        <w:rPr>
          <w:rFonts w:ascii="Calibri" w:hAnsi="Calibri" w:cs="Calibri"/>
          <w:sz w:val="22"/>
          <w:szCs w:val="22"/>
        </w:rPr>
        <w:t>Opis przedmiotu zamówienia dla części</w:t>
      </w:r>
      <w:r w:rsidR="00330A8E" w:rsidRPr="00FD70E6">
        <w:rPr>
          <w:rFonts w:ascii="Calibri" w:hAnsi="Calibri" w:cs="Calibri"/>
          <w:sz w:val="22"/>
          <w:szCs w:val="22"/>
        </w:rPr>
        <w:t xml:space="preserve">: </w:t>
      </w:r>
      <w:r w:rsidR="00330A8E" w:rsidRPr="00EC473E">
        <w:rPr>
          <w:rFonts w:ascii="Calibri" w:hAnsi="Calibri" w:cs="Calibri"/>
          <w:b/>
          <w:sz w:val="22"/>
          <w:szCs w:val="22"/>
        </w:rPr>
        <w:t>Zajęcia matematyczne rozwijające logiczne myślenie</w:t>
      </w:r>
    </w:p>
    <w:p w14:paraId="1BFC69C4" w14:textId="77777777" w:rsidR="002126B5" w:rsidRPr="00FD70E6" w:rsidRDefault="002126B5">
      <w:pPr>
        <w:pStyle w:val="Standard"/>
        <w:rPr>
          <w:rFonts w:ascii="Calibri" w:hAnsi="Calibri" w:cs="Calibri"/>
          <w:sz w:val="22"/>
          <w:szCs w:val="22"/>
        </w:rPr>
      </w:pPr>
    </w:p>
    <w:tbl>
      <w:tblPr>
        <w:tblW w:w="9611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"/>
        <w:gridCol w:w="2409"/>
        <w:gridCol w:w="971"/>
        <w:gridCol w:w="5245"/>
      </w:tblGrid>
      <w:tr w:rsidR="002126B5" w:rsidRPr="00FD70E6" w14:paraId="532DDF6A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72502E" w14:textId="77777777" w:rsidR="002126B5" w:rsidRPr="00FD70E6" w:rsidRDefault="00FD70E6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7AD597" w14:textId="77777777" w:rsidR="002126B5" w:rsidRPr="00FD70E6" w:rsidRDefault="00FD70E6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Nazwa przedmiotu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60FCBD" w14:textId="77777777" w:rsidR="002126B5" w:rsidRPr="00FD70E6" w:rsidRDefault="00FD70E6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CCB44F" w14:textId="77777777" w:rsidR="002126B5" w:rsidRPr="00FD70E6" w:rsidRDefault="00FD70E6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Opis produktu, w tym opis równoważności w przypadku użycia odniesienia do znaku towarowego</w:t>
            </w:r>
          </w:p>
        </w:tc>
      </w:tr>
      <w:tr w:rsidR="002126B5" w:rsidRPr="00FD70E6" w14:paraId="05640B9B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E0BF80" w14:textId="77777777" w:rsidR="002126B5" w:rsidRPr="00FD70E6" w:rsidRDefault="00FD70E6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1F4ABF" w14:textId="77777777" w:rsidR="002126B5" w:rsidRPr="00FD70E6" w:rsidRDefault="002126B5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  <w:p w14:paraId="7E0220BE" w14:textId="43D5A539" w:rsidR="002126B5" w:rsidRPr="00FD70E6" w:rsidRDefault="00330A8E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Ćwiczę koncentrację – zestaw ćwiczeń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AF0419" w14:textId="5EB69CCA" w:rsidR="002126B5" w:rsidRPr="00FD70E6" w:rsidRDefault="00330A8E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CD4F32" w14:textId="722C6115" w:rsidR="002126B5" w:rsidRPr="00FD70E6" w:rsidRDefault="00330A8E" w:rsidP="00330A8E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zestaw ćwiczeń mający na celu doskonalenie zdolności koncentracji i uwagi. Poszczególne ćwiczenia oparte są na zasadzie precyzyjnego łączenia punktów i odwzorowania kształtów. Zróżnicowany stopień trudności pozwala na wykorzystanie w pracy z dziećmi w wieku od 8 do 14 lat.</w:t>
            </w:r>
          </w:p>
        </w:tc>
      </w:tr>
      <w:tr w:rsidR="002126B5" w:rsidRPr="00FD70E6" w14:paraId="7DB7C594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1DF600" w14:textId="77777777" w:rsidR="002126B5" w:rsidRPr="00FD70E6" w:rsidRDefault="00FD70E6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733CC9" w14:textId="79570B17" w:rsidR="002126B5" w:rsidRPr="00FD70E6" w:rsidRDefault="00330A8E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Magnetyczna oś liczbowa o długości 3 m wraz z min. 50 magnesami</w:t>
            </w:r>
            <w:r w:rsidR="00FD70E6" w:rsidRPr="00FD70E6">
              <w:rPr>
                <w:rFonts w:ascii="Calibri" w:hAnsi="Calibri" w:cs="Calibri"/>
                <w:sz w:val="22"/>
                <w:szCs w:val="22"/>
              </w:rPr>
              <w:br/>
            </w:r>
          </w:p>
          <w:p w14:paraId="51EFBC3E" w14:textId="77777777" w:rsidR="002126B5" w:rsidRPr="00FD70E6" w:rsidRDefault="002126B5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  <w:p w14:paraId="75156C77" w14:textId="77777777" w:rsidR="002126B5" w:rsidRPr="00FD70E6" w:rsidRDefault="002126B5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EEF82E" w14:textId="1CCF2019" w:rsidR="002126B5" w:rsidRPr="00FD70E6" w:rsidRDefault="00330A8E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5408CF" w14:textId="77777777" w:rsidR="00330A8E" w:rsidRPr="00FD70E6" w:rsidRDefault="00330A8E" w:rsidP="00330A8E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  <w:t xml:space="preserve">"Magnetyczna oś liczbowa powinna posiadać parametry: </w:t>
            </w:r>
          </w:p>
          <w:p w14:paraId="2DE2CA90" w14:textId="77777777" w:rsidR="00330A8E" w:rsidRPr="00FD70E6" w:rsidRDefault="00330A8E" w:rsidP="00330A8E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  <w:t xml:space="preserve">-długość 3m (+/- 20%); </w:t>
            </w:r>
          </w:p>
          <w:p w14:paraId="7081B639" w14:textId="77777777" w:rsidR="00330A8E" w:rsidRPr="00FD70E6" w:rsidRDefault="00330A8E" w:rsidP="00330A8E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  <w:t xml:space="preserve">-min. 30 magnetyczne dwustronne tabliczki ze strzałkami; </w:t>
            </w:r>
          </w:p>
          <w:p w14:paraId="338E8602" w14:textId="3F6D0530" w:rsidR="002126B5" w:rsidRPr="00FD70E6" w:rsidRDefault="00330A8E" w:rsidP="00FD70E6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  <w:t>-min. 30 magnesów w 4 kolorach w pudełku. "</w:t>
            </w:r>
          </w:p>
        </w:tc>
      </w:tr>
      <w:tr w:rsidR="002126B5" w:rsidRPr="00FD70E6" w14:paraId="3F32D5BD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23AA37" w14:textId="77777777" w:rsidR="002126B5" w:rsidRPr="00FD70E6" w:rsidRDefault="00FD70E6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73C20F" w14:textId="081A76D3" w:rsidR="002126B5" w:rsidRPr="00FD70E6" w:rsidRDefault="00330A8E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Osie liczbowe dla liczb całkowitych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E8965D" w14:textId="25EDBDC9" w:rsidR="002126B5" w:rsidRPr="00FD70E6" w:rsidRDefault="00330A8E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873616" w14:textId="464DECE4" w:rsidR="002126B5" w:rsidRPr="00FD70E6" w:rsidRDefault="00330A8E" w:rsidP="00FD70E6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Zestaw powinien zawierać min. 30 kolorowych dwustronnych kartoników, po 10 kartoników każdego typu osi, foliowane do zapisu suchościeralnego, instrukcja. </w:t>
            </w:r>
          </w:p>
        </w:tc>
      </w:tr>
      <w:tr w:rsidR="002126B5" w:rsidRPr="00FD70E6" w14:paraId="09074E90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3E9525" w14:textId="77777777" w:rsidR="002126B5" w:rsidRPr="00FD70E6" w:rsidRDefault="00FD70E6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F75739" w14:textId="7A83F17C" w:rsidR="002126B5" w:rsidRPr="00FD70E6" w:rsidRDefault="00330A8E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Bingo – mnożenie i dzielenie do 100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D9F3C9" w14:textId="0378C093" w:rsidR="002126B5" w:rsidRPr="00FD70E6" w:rsidRDefault="00330A8E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381470" w14:textId="01715058" w:rsidR="00330A8E" w:rsidRPr="00FD70E6" w:rsidRDefault="00330A8E" w:rsidP="00330A8E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Gra liczbowa typu Bingo, t</w:t>
            </w:r>
            <w:r w:rsidR="00FD70E6"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e</w:t>
            </w: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matyka: mnożenie i dzielenie. Powinna zawierać: </w:t>
            </w:r>
          </w:p>
          <w:p w14:paraId="6674EDA5" w14:textId="77777777" w:rsidR="00330A8E" w:rsidRPr="00FD70E6" w:rsidRDefault="00330A8E" w:rsidP="00330A8E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12 dwustronnych plansz; </w:t>
            </w:r>
          </w:p>
          <w:p w14:paraId="2ECDAE6E" w14:textId="77777777" w:rsidR="00330A8E" w:rsidRPr="00FD70E6" w:rsidRDefault="00330A8E" w:rsidP="00330A8E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108 dwustronnych kartoników, </w:t>
            </w:r>
          </w:p>
          <w:p w14:paraId="5F4C312C" w14:textId="23A9837C" w:rsidR="002126B5" w:rsidRPr="00FD70E6" w:rsidRDefault="00330A8E" w:rsidP="00330A8E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-instrukcja."</w:t>
            </w:r>
          </w:p>
        </w:tc>
      </w:tr>
      <w:tr w:rsidR="00330A8E" w:rsidRPr="00FD70E6" w14:paraId="5D13F658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65B493" w14:textId="2D5F1A24" w:rsidR="00330A8E" w:rsidRPr="00FD70E6" w:rsidRDefault="00330A8E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CD2DCA" w14:textId="16E7D86A" w:rsidR="00330A8E" w:rsidRPr="00FD70E6" w:rsidRDefault="00330A8E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Układanka Schubitrix - dodawanie i odejmowanie do 100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6275AC" w14:textId="21C9E71F" w:rsidR="00330A8E" w:rsidRPr="00FD70E6" w:rsidRDefault="00FD70E6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415CC5" w14:textId="401F8B23" w:rsidR="00330A8E" w:rsidRPr="00FD70E6" w:rsidRDefault="00330A8E" w:rsidP="00330A8E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Zestaw typu Schubitrix lub równoważny, powinien zawierać min. 2 układanki (gry logiczne) o zróżnicowanym stopniu trudności w zakresie:</w:t>
            </w:r>
          </w:p>
          <w:p w14:paraId="5C90F404" w14:textId="77777777" w:rsidR="00330A8E" w:rsidRPr="00FD70E6" w:rsidRDefault="00330A8E" w:rsidP="00330A8E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-dodawanie i odejmowanie do 100 bez przekroczenia progu dziesiątki,</w:t>
            </w:r>
          </w:p>
          <w:p w14:paraId="5D4938C6" w14:textId="69A623B6" w:rsidR="00330A8E" w:rsidRPr="00FD70E6" w:rsidRDefault="00330A8E" w:rsidP="00330A8E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-dodawanie i odejmowanie do 100 z przekroczeniem progu dziesiątki.</w:t>
            </w:r>
          </w:p>
        </w:tc>
      </w:tr>
      <w:tr w:rsidR="00330A8E" w:rsidRPr="00FD70E6" w14:paraId="569A1786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8DCBFA" w14:textId="347AAC6C" w:rsidR="00330A8E" w:rsidRPr="00FD70E6" w:rsidRDefault="00330A8E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D70001" w14:textId="3930E7D2" w:rsidR="00330A8E" w:rsidRPr="00FD70E6" w:rsidRDefault="00330A8E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Układanka Schubitrix - mnożenie i dzielenie do 100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27D31A" w14:textId="59B44888" w:rsidR="00330A8E" w:rsidRPr="00FD70E6" w:rsidRDefault="00FD70E6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DA2A6B" w14:textId="57B575B4" w:rsidR="00330A8E" w:rsidRPr="00FD70E6" w:rsidRDefault="00FD70E6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Zestaw zawiera min. 2 układanki (gry logiczne) o zróżnicowanym stopniu trudności w zakresie mnożenia i dzielenia.</w:t>
            </w:r>
          </w:p>
        </w:tc>
      </w:tr>
      <w:tr w:rsidR="00330A8E" w:rsidRPr="00FD70E6" w14:paraId="13B9FEB6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4FE6C9" w14:textId="613580CD" w:rsidR="00330A8E" w:rsidRPr="00FD70E6" w:rsidRDefault="00330A8E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558729" w14:textId="77455AF7" w:rsidR="00330A8E" w:rsidRPr="00FD70E6" w:rsidRDefault="00FD70E6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Bingo - dodawanie i odejmowanie do 100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2EF714" w14:textId="0E1C97D9" w:rsidR="00330A8E" w:rsidRPr="00FD70E6" w:rsidRDefault="00FD70E6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6E0B09" w14:textId="77777777" w:rsidR="00FD70E6" w:rsidRPr="00FD70E6" w:rsidRDefault="00FD70E6" w:rsidP="00FD70E6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"Gra liczbowa typu Bingo tamatyka dodawanie i odejmowanie powinna zawierać: </w:t>
            </w:r>
          </w:p>
          <w:p w14:paraId="4EAA32B5" w14:textId="77777777" w:rsidR="00FD70E6" w:rsidRPr="00FD70E6" w:rsidRDefault="00FD70E6" w:rsidP="00FD70E6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12 dwustronnych plansz; </w:t>
            </w:r>
          </w:p>
          <w:p w14:paraId="72682CCE" w14:textId="77777777" w:rsidR="00FD70E6" w:rsidRPr="00FD70E6" w:rsidRDefault="00FD70E6" w:rsidP="00FD70E6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108 dwustronnych kartoników, </w:t>
            </w:r>
          </w:p>
          <w:p w14:paraId="7EC9832B" w14:textId="218BDFFC" w:rsidR="00330A8E" w:rsidRPr="00FD70E6" w:rsidRDefault="00FD70E6" w:rsidP="00FD70E6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-instrukcja."</w:t>
            </w:r>
          </w:p>
        </w:tc>
      </w:tr>
      <w:tr w:rsidR="00330A8E" w:rsidRPr="00FD70E6" w14:paraId="7B90B777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CDCFE2" w14:textId="5C9B22F2" w:rsidR="00330A8E" w:rsidRPr="00FD70E6" w:rsidRDefault="00330A8E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ACE9E5" w14:textId="3AD07297" w:rsidR="00330A8E" w:rsidRPr="00FD70E6" w:rsidRDefault="00FD70E6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PUS: Matematyka na wesoło - łamigłówki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95B309" w14:textId="1E82C67A" w:rsidR="00330A8E" w:rsidRPr="00FD70E6" w:rsidRDefault="00FD70E6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0226A0" w14:textId="6807721C" w:rsidR="00330A8E" w:rsidRPr="00FD70E6" w:rsidRDefault="00FD70E6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Książeczka PUS: Matematyka na wesoło cz. 5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</w:t>
            </w: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łamigłówki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 bądź równoważna, zawierająca </w:t>
            </w: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zbi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ór </w:t>
            </w: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ćwiczeń, zabaw i łamigłówek matematycznych.</w:t>
            </w:r>
          </w:p>
        </w:tc>
      </w:tr>
      <w:tr w:rsidR="00330A8E" w:rsidRPr="00FD70E6" w14:paraId="4143DD15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B49A6F" w14:textId="46987C06" w:rsidR="00330A8E" w:rsidRPr="00FD70E6" w:rsidRDefault="00330A8E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957C7A" w14:textId="3AB7213C" w:rsidR="00330A8E" w:rsidRPr="00FD70E6" w:rsidRDefault="00FD70E6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Gra - Mastermind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D51A60" w14:textId="2BD993EA" w:rsidR="00330A8E" w:rsidRPr="00FD70E6" w:rsidRDefault="00FD70E6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61CEB6" w14:textId="2F0A922C" w:rsidR="00330A8E" w:rsidRPr="00FD70E6" w:rsidRDefault="00FD70E6" w:rsidP="00FD70E6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Gra logiczna. Zestaw powinien zawierać min. 1 planszę, min. po 10 kołeczków w kolorze żółtym, niebieskim, czerwonym pomarańczowym oraz zielonym i min. po 20 kołeczków w kolorze białym i czarnym.</w:t>
            </w:r>
          </w:p>
        </w:tc>
      </w:tr>
      <w:tr w:rsidR="00330A8E" w:rsidRPr="00FD70E6" w14:paraId="43C8889B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6C8893" w14:textId="4B2DBCCA" w:rsidR="00330A8E" w:rsidRPr="00FD70E6" w:rsidRDefault="00330A8E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C056E1" w14:textId="208F1306" w:rsidR="00330A8E" w:rsidRPr="00FD70E6" w:rsidRDefault="00FD70E6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Wymyślaj i rozwiązuj problemy matematyczne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D1C9BB" w14:textId="550C3D77" w:rsidR="00330A8E" w:rsidRPr="00FD70E6" w:rsidRDefault="00FD70E6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D70E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886369" w14:textId="77777777" w:rsidR="00FD70E6" w:rsidRPr="00FD70E6" w:rsidRDefault="00FD70E6" w:rsidP="00FD70E6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Gra matematyczna, rozwijająca kreatywność, logiczne i matematyczne myślenie.</w:t>
            </w:r>
            <w:r w:rsidRPr="00FD70E6">
              <w:rPr>
                <w:rFonts w:ascii="Calibri" w:hAnsi="Calibri" w:cs="Calibri"/>
                <w:sz w:val="22"/>
                <w:szCs w:val="22"/>
              </w:rPr>
              <w:br/>
              <w:t xml:space="preserve">Powinna zawierać min. 5 ruletek; </w:t>
            </w:r>
            <w:r w:rsidRPr="00FD70E6">
              <w:rPr>
                <w:rFonts w:ascii="Calibri" w:hAnsi="Calibri" w:cs="Calibri"/>
                <w:sz w:val="22"/>
                <w:szCs w:val="22"/>
              </w:rPr>
              <w:br/>
              <w:t xml:space="preserve">min. 40 kart; wiek od 6 lat. </w:t>
            </w:r>
          </w:p>
          <w:p w14:paraId="1834FC87" w14:textId="77777777" w:rsidR="00330A8E" w:rsidRPr="00FD70E6" w:rsidRDefault="00330A8E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785D9B2A" w14:textId="77777777" w:rsidR="002126B5" w:rsidRPr="00FD70E6" w:rsidRDefault="002126B5">
      <w:pPr>
        <w:pStyle w:val="Standard"/>
        <w:rPr>
          <w:rFonts w:ascii="Calibri" w:hAnsi="Calibri" w:cs="Calibri"/>
          <w:sz w:val="22"/>
          <w:szCs w:val="22"/>
        </w:rPr>
      </w:pPr>
    </w:p>
    <w:sectPr w:rsidR="002126B5" w:rsidRPr="00FD70E6" w:rsidSect="00FD70E6">
      <w:headerReference w:type="even" r:id="rId7"/>
      <w:headerReference w:type="default" r:id="rId8"/>
      <w:pgSz w:w="11906" w:h="16838"/>
      <w:pgMar w:top="426" w:right="1077" w:bottom="568" w:left="1077" w:header="36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822F0" w14:textId="77777777" w:rsidR="00FD70E6" w:rsidRDefault="00FD70E6">
      <w:r>
        <w:separator/>
      </w:r>
    </w:p>
  </w:endnote>
  <w:endnote w:type="continuationSeparator" w:id="0">
    <w:p w14:paraId="15A8C5B2" w14:textId="77777777" w:rsidR="00FD70E6" w:rsidRDefault="00FD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91861" w14:textId="77777777" w:rsidR="00FD70E6" w:rsidRDefault="00FD70E6">
      <w:r>
        <w:rPr>
          <w:color w:val="000000"/>
        </w:rPr>
        <w:separator/>
      </w:r>
    </w:p>
  </w:footnote>
  <w:footnote w:type="continuationSeparator" w:id="0">
    <w:p w14:paraId="23C75E97" w14:textId="77777777" w:rsidR="00FD70E6" w:rsidRDefault="00FD7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77B45" w14:textId="77777777" w:rsidR="00FD70E6" w:rsidRDefault="00FD70E6">
    <w:pPr>
      <w:pStyle w:val="Head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420C5" w14:textId="77777777" w:rsidR="00FD70E6" w:rsidRDefault="00FD70E6">
    <w:pPr>
      <w:pStyle w:val="Heading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95C7E4A" wp14:editId="4C65C2C9">
          <wp:simplePos x="0" y="0"/>
          <wp:positionH relativeFrom="column">
            <wp:align>center</wp:align>
          </wp:positionH>
          <wp:positionV relativeFrom="paragraph">
            <wp:posOffset>294482</wp:posOffset>
          </wp:positionV>
          <wp:extent cx="5753880" cy="419042"/>
          <wp:effectExtent l="0" t="0" r="0" b="58"/>
          <wp:wrapNone/>
          <wp:docPr id="1779960360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880" cy="4190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839FB96" w14:textId="77777777" w:rsidR="00FD70E6" w:rsidRDefault="00FD70E6">
    <w:pPr>
      <w:pStyle w:val="Head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D04DF"/>
    <w:multiLevelType w:val="multilevel"/>
    <w:tmpl w:val="1EE0E45C"/>
    <w:styleLink w:val="WWNum2"/>
    <w:lvl w:ilvl="0">
      <w:numFmt w:val="bullet"/>
      <w:lvlText w:val="•"/>
      <w:lvlJc w:val="left"/>
      <w:pPr>
        <w:ind w:left="720" w:hanging="360"/>
      </w:pPr>
      <w:rPr>
        <w:rFonts w:ascii="Times New Roman" w:eastAsia="OpenSymbol" w:hAnsi="Times New Roman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Times New Roman" w:eastAsia="OpenSymbol" w:hAnsi="Times New Roman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Times New Roman" w:eastAsia="OpenSymbol" w:hAnsi="Times New Roman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Times New Roman" w:eastAsia="OpenSymbol" w:hAnsi="Times New Roman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Times New Roman" w:eastAsia="OpenSymbol" w:hAnsi="Times New Roman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Times New Roman" w:eastAsia="OpenSymbol" w:hAnsi="Times New Roman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Times New Roman" w:eastAsia="OpenSymbol" w:hAnsi="Times New Roman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Times New Roman" w:eastAsia="OpenSymbol" w:hAnsi="Times New Roman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Times New Roman" w:eastAsia="OpenSymbol" w:hAnsi="Times New Roman" w:cs="OpenSymbol"/>
      </w:rPr>
    </w:lvl>
  </w:abstractNum>
  <w:abstractNum w:abstractNumId="1" w15:restartNumberingAfterBreak="0">
    <w:nsid w:val="14495E97"/>
    <w:multiLevelType w:val="multilevel"/>
    <w:tmpl w:val="452ADF26"/>
    <w:styleLink w:val="WWNum3"/>
    <w:lvl w:ilvl="0">
      <w:numFmt w:val="bullet"/>
      <w:lvlText w:val="•"/>
      <w:lvlJc w:val="left"/>
      <w:pPr>
        <w:ind w:left="720" w:hanging="360"/>
      </w:pPr>
      <w:rPr>
        <w:rFonts w:ascii="Times New Roman" w:eastAsia="OpenSymbol" w:hAnsi="Times New Roman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Times New Roman" w:eastAsia="OpenSymbol" w:hAnsi="Times New Roman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Times New Roman" w:eastAsia="OpenSymbol" w:hAnsi="Times New Roman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Times New Roman" w:eastAsia="OpenSymbol" w:hAnsi="Times New Roman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Times New Roman" w:eastAsia="OpenSymbol" w:hAnsi="Times New Roman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Times New Roman" w:eastAsia="OpenSymbol" w:hAnsi="Times New Roman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Times New Roman" w:eastAsia="OpenSymbol" w:hAnsi="Times New Roman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Times New Roman" w:eastAsia="OpenSymbol" w:hAnsi="Times New Roman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Times New Roman" w:eastAsia="OpenSymbol" w:hAnsi="Times New Roman" w:cs="OpenSymbol"/>
      </w:rPr>
    </w:lvl>
  </w:abstractNum>
  <w:abstractNum w:abstractNumId="2" w15:restartNumberingAfterBreak="0">
    <w:nsid w:val="1F536E3D"/>
    <w:multiLevelType w:val="multilevel"/>
    <w:tmpl w:val="DD3254F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F3E083D"/>
    <w:multiLevelType w:val="multilevel"/>
    <w:tmpl w:val="60E8FD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0FC0EF2"/>
    <w:multiLevelType w:val="multilevel"/>
    <w:tmpl w:val="1390F16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5CA46C1"/>
    <w:multiLevelType w:val="multilevel"/>
    <w:tmpl w:val="494443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A0225A6"/>
    <w:multiLevelType w:val="multilevel"/>
    <w:tmpl w:val="17C05FA2"/>
    <w:styleLink w:val="WWNum1"/>
    <w:lvl w:ilvl="0">
      <w:numFmt w:val="bullet"/>
      <w:lvlText w:val="•"/>
      <w:lvlJc w:val="left"/>
      <w:pPr>
        <w:ind w:left="720" w:hanging="360"/>
      </w:pPr>
      <w:rPr>
        <w:rFonts w:ascii="Times New Roman" w:eastAsia="OpenSymbol" w:hAnsi="Times New Roman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Times New Roman" w:eastAsia="OpenSymbol" w:hAnsi="Times New Roman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Times New Roman" w:eastAsia="OpenSymbol" w:hAnsi="Times New Roman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Times New Roman" w:eastAsia="OpenSymbol" w:hAnsi="Times New Roman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Times New Roman" w:eastAsia="OpenSymbol" w:hAnsi="Times New Roman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Times New Roman" w:eastAsia="OpenSymbol" w:hAnsi="Times New Roman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Times New Roman" w:eastAsia="OpenSymbol" w:hAnsi="Times New Roman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Times New Roman" w:eastAsia="OpenSymbol" w:hAnsi="Times New Roman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Times New Roman" w:eastAsia="OpenSymbol" w:hAnsi="Times New Roman" w:cs="OpenSymbol"/>
      </w:rPr>
    </w:lvl>
  </w:abstractNum>
  <w:num w:numId="1" w16cid:durableId="916596501">
    <w:abstractNumId w:val="6"/>
  </w:num>
  <w:num w:numId="2" w16cid:durableId="1442653279">
    <w:abstractNumId w:val="0"/>
  </w:num>
  <w:num w:numId="3" w16cid:durableId="940646531">
    <w:abstractNumId w:val="1"/>
  </w:num>
  <w:num w:numId="4" w16cid:durableId="442774687">
    <w:abstractNumId w:val="3"/>
  </w:num>
  <w:num w:numId="5" w16cid:durableId="504059172">
    <w:abstractNumId w:val="4"/>
  </w:num>
  <w:num w:numId="6" w16cid:durableId="1259025219">
    <w:abstractNumId w:val="2"/>
  </w:num>
  <w:num w:numId="7" w16cid:durableId="20750843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6B5"/>
    <w:rsid w:val="002126B5"/>
    <w:rsid w:val="00271CE3"/>
    <w:rsid w:val="00330A8E"/>
    <w:rsid w:val="009C5EE5"/>
    <w:rsid w:val="00A65D10"/>
    <w:rsid w:val="00EC473E"/>
    <w:rsid w:val="00FD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73187"/>
  <w15:docId w15:val="{787ACB4B-2875-4FC2-B14A-59A373A07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keepLines/>
      <w:spacing w:before="360" w:after="80"/>
      <w:outlineLvl w:val="0"/>
    </w:pPr>
    <w:rPr>
      <w:rFonts w:ascii="Aptos Display" w:eastAsia="Aptos Display" w:hAnsi="Aptos Display" w:cs="Aptos Display"/>
      <w:color w:val="0F4761"/>
      <w:sz w:val="40"/>
      <w:szCs w:val="40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 Display" w:hAnsi="Aptos Display" w:cs="Aptos Display"/>
      <w:color w:val="0F4761"/>
      <w:sz w:val="32"/>
      <w:szCs w:val="32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Nagwek6">
    <w:name w:val="heading 6"/>
    <w:basedOn w:val="Standard"/>
    <w:next w:val="Textbody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Nagwek7">
    <w:name w:val="heading 7"/>
    <w:basedOn w:val="Standard"/>
    <w:next w:val="Textbody"/>
    <w:pPr>
      <w:keepNext/>
      <w:keepLines/>
      <w:spacing w:before="40"/>
      <w:outlineLvl w:val="6"/>
    </w:pPr>
    <w:rPr>
      <w:color w:val="595959"/>
    </w:rPr>
  </w:style>
  <w:style w:type="paragraph" w:styleId="Nagwek8">
    <w:name w:val="heading 8"/>
    <w:basedOn w:val="Standard"/>
    <w:next w:val="Textbody"/>
    <w:pPr>
      <w:keepNext/>
      <w:keepLines/>
      <w:outlineLvl w:val="7"/>
    </w:pPr>
    <w:rPr>
      <w:i/>
      <w:iCs/>
      <w:color w:val="272727"/>
    </w:rPr>
  </w:style>
  <w:style w:type="paragraph" w:styleId="Nagwek9">
    <w:name w:val="heading 9"/>
    <w:basedOn w:val="Standard"/>
    <w:next w:val="Textbody"/>
    <w:pPr>
      <w:keepNext/>
      <w:keepLines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cs="Aptos"/>
      <w:color w:val="00000A"/>
    </w:rPr>
  </w:style>
  <w:style w:type="paragraph" w:customStyle="1" w:styleId="Heading">
    <w:name w:val="Heading"/>
    <w:basedOn w:val="Standard"/>
    <w:next w:val="Textbody"/>
    <w:pPr>
      <w:keepNext/>
      <w:suppressLineNumbers/>
      <w:tabs>
        <w:tab w:val="center" w:pos="4536"/>
        <w:tab w:val="right" w:pos="9072"/>
      </w:tabs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Tytu">
    <w:name w:val="Title"/>
    <w:basedOn w:val="Standard"/>
    <w:next w:val="Podtytu"/>
    <w:uiPriority w:val="10"/>
    <w:qFormat/>
    <w:pPr>
      <w:spacing w:after="80"/>
    </w:pPr>
    <w:rPr>
      <w:rFonts w:ascii="Aptos Display" w:eastAsia="Aptos Display" w:hAnsi="Aptos Display" w:cs="Aptos Display"/>
      <w:b/>
      <w:bCs/>
      <w:spacing w:val="-10"/>
      <w:sz w:val="56"/>
      <w:szCs w:val="56"/>
    </w:rPr>
  </w:style>
  <w:style w:type="paragraph" w:styleId="Podtytu">
    <w:name w:val="Subtitle"/>
    <w:basedOn w:val="Standard"/>
    <w:next w:val="Textbody"/>
    <w:uiPriority w:val="11"/>
    <w:qFormat/>
    <w:pPr>
      <w:spacing w:after="160"/>
    </w:pPr>
    <w:rPr>
      <w:i/>
      <w:iCs/>
      <w:color w:val="595959"/>
      <w:spacing w:val="15"/>
      <w:sz w:val="28"/>
      <w:szCs w:val="28"/>
    </w:rPr>
  </w:style>
  <w:style w:type="paragraph" w:customStyle="1" w:styleId="Quotations">
    <w:name w:val="Quotations"/>
    <w:basedOn w:val="Standard"/>
    <w:pPr>
      <w:spacing w:before="160" w:after="160"/>
      <w:ind w:left="567" w:right="567"/>
      <w:jc w:val="center"/>
    </w:pPr>
    <w:rPr>
      <w:i/>
      <w:iCs/>
      <w:color w:val="404040"/>
    </w:rPr>
  </w:style>
  <w:style w:type="paragraph" w:styleId="Akapitzlist">
    <w:name w:val="List Paragraph"/>
    <w:basedOn w:val="Standard"/>
    <w:pPr>
      <w:ind w:left="720"/>
    </w:pPr>
  </w:style>
  <w:style w:type="paragraph" w:styleId="Cytatintensywny">
    <w:name w:val="Intense Quote"/>
    <w:basedOn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Poprawka">
    <w:name w:val="Revision"/>
    <w:pPr>
      <w:widowControl/>
      <w:suppressAutoHyphens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1Znak">
    <w:name w:val="Nagłówek 1 Znak"/>
    <w:basedOn w:val="Domylnaczcionkaakapitu"/>
    <w:rPr>
      <w:rFonts w:ascii="Aptos Display" w:eastAsia="Aptos Display" w:hAnsi="Aptos Display" w:cs="Aptos Display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Aptos Display" w:hAnsi="Aptos Display" w:cs="Aptos Display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i/>
      <w:iCs/>
      <w:color w:val="0F4761"/>
    </w:rPr>
  </w:style>
  <w:style w:type="character" w:customStyle="1" w:styleId="Nagwek5Znak">
    <w:name w:val="Nagłówek 5 Znak"/>
    <w:basedOn w:val="Domylnaczcionkaakapitu"/>
    <w:rPr>
      <w:color w:val="0F4761"/>
    </w:rPr>
  </w:style>
  <w:style w:type="character" w:customStyle="1" w:styleId="Nagwek6Znak">
    <w:name w:val="Nagłówek 6 Znak"/>
    <w:basedOn w:val="Domylnaczcionkaakapitu"/>
    <w:rPr>
      <w:i/>
      <w:iCs/>
      <w:color w:val="595959"/>
    </w:rPr>
  </w:style>
  <w:style w:type="character" w:customStyle="1" w:styleId="Nagwek7Znak">
    <w:name w:val="Nagłówek 7 Znak"/>
    <w:basedOn w:val="Domylnaczcionkaakapitu"/>
    <w:rPr>
      <w:color w:val="595959"/>
    </w:rPr>
  </w:style>
  <w:style w:type="character" w:customStyle="1" w:styleId="Nagwek8Znak">
    <w:name w:val="Nagłówek 8 Znak"/>
    <w:basedOn w:val="Domylnaczcionkaakapitu"/>
    <w:rPr>
      <w:i/>
      <w:iCs/>
      <w:color w:val="272727"/>
    </w:rPr>
  </w:style>
  <w:style w:type="character" w:customStyle="1" w:styleId="Nagwek9Znak">
    <w:name w:val="Nagłówek 9 Znak"/>
    <w:basedOn w:val="Domylnaczcionkaakapitu"/>
    <w:rPr>
      <w:color w:val="272727"/>
    </w:rPr>
  </w:style>
  <w:style w:type="character" w:customStyle="1" w:styleId="TytuZnak">
    <w:name w:val="Tytuł Znak"/>
    <w:basedOn w:val="Domylnaczcionkaakapitu"/>
    <w:rPr>
      <w:rFonts w:ascii="Aptos Display" w:eastAsia="Aptos Display" w:hAnsi="Aptos Display" w:cs="Aptos Display"/>
      <w:spacing w:val="-10"/>
      <w:kern w:val="3"/>
      <w:sz w:val="56"/>
      <w:szCs w:val="56"/>
    </w:rPr>
  </w:style>
  <w:style w:type="character" w:customStyle="1" w:styleId="PodtytuZnak">
    <w:name w:val="Podtytuł Znak"/>
    <w:basedOn w:val="Domylnaczcionkaakapitu"/>
    <w:rPr>
      <w:color w:val="595959"/>
      <w:spacing w:val="15"/>
      <w:sz w:val="28"/>
      <w:szCs w:val="28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ListLabel1">
    <w:name w:val="ListLabel 1"/>
    <w:rPr>
      <w:rFonts w:eastAsia="OpenSymbol" w:cs="OpenSymbol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 Cichoń</dc:creator>
  <cp:lastModifiedBy>Elżbieta Topór</cp:lastModifiedBy>
  <cp:revision>4</cp:revision>
  <dcterms:created xsi:type="dcterms:W3CDTF">2025-10-07T18:41:00Z</dcterms:created>
  <dcterms:modified xsi:type="dcterms:W3CDTF">2025-11-20T09:18:00Z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